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133</w:t>
      </w:r>
    </w:p>
    <w:p>
      <w:r>
        <w:t>Bundesgericht (BGE), 1986-03-05, IT</w:t>
      </w:r>
    </w:p>
    <w:p>
      <w:r>
        <w:rPr>
          <w:b/>
        </w:rPr>
        <w:t xml:space="preserve">Quelle: </w:t>
      </w:r>
      <w:r>
        <w:t>https://mcp.opencaselaw.ch/entscheid/bge_112 V 133</w:t>
      </w:r>
    </w:p>
    <w:p>
      <w:r>
        <w:t>FR: ATF 112 V 133</w:t>
      </w:r>
    </w:p>
    <w:p>
      <w:r>
        <w:t>IT: DTF 112 V 133</w:t>
      </w:r>
    </w:p>
    <w:p>
      <w:pPr>
        <w:pStyle w:val="Heading2"/>
      </w:pPr>
      <w:r>
        <w:t>Regeste</w:t>
      </w:r>
    </w:p>
    <w:p>
      <w:r>
        <w:t>Regeste Art. 11 Abs. 1 AVIG und Art. 5 AVIV, Art. 16 Abs. 1 lit. e AVIG. - Abgesehen von den in den Art. 11 Abs. 1 AVIG und Art. 5 AVIV enthaltenen Normen - wonach der Arbeitsausfall wenigstens zwei aufeinanderfolgende Tage dauern resp. zwei volle Arbeitstage innerhalb von zwei Wochen ausmachen muss - enthält die gesetzliche Regelung keine anderen Bestimmungen, die den Entschädigungsanspruch vom Bestehen einer Arbeitslosigkeit eines bestimmten Mindestausmasses abhängig machen. - Ein solches Erfordernis kann insbesondere nicht aus Art. 16 Abs. 1 lit. e AVIG abgeleitet werden; daher ist die Entschädigung auch dann zuzusprechen, wenn der Erwerbsausfall die ausgeübte Tätigkeit nicht unzumutbar macht.</w:t>
      </w:r>
    </w:p>
    <w:p>
      <w:pPr>
        <w:pStyle w:val="Heading2"/>
      </w:pPr>
      <w:r>
        <w:t>Volltext</w:t>
      </w:r>
    </w:p>
    <w:p>
      <w:r>
        <w:t>Urteilskopf 112 V 133 21. Estratto della sentenza del 5 marzo 1986 nella causa Ufficio federale dell'industria, delle arti e mestieri e del lavoro contro Borri e Tribunale delle assicurazioni del Canton Ticino Regeste Art. 11 Abs. 1 AVIG und Art. 5 AVIV , Art. 16 Abs. 1 lit. e AVIG . - Abgesehen von den in den Art. 11 Abs. 1 AVIG und Art. 5 AVIV enthaltenen Normen - wonach der Arbeitsausfall wenigstens zwei aufeinanderfolgende Tage dauern resp. zwei volle Arbeitstage innerhalb von zwei Wochen ausmachen muss - enthält die gesetzliche Regelung keine anderen Bestimmungen, die den Entschädigungsanspruch vom Bestehen einer Arbeitslosigkeit eines bestimmten Mindestausmasses abhängig machen. - Ein solches Erfordernis kann insbesondere nicht aus Art. 16 Abs. 1 lit. e AVIG abgeleitet werden; daher ist die Entschädigung auch dann zuzusprechen, wenn der Erwerbsausfall die ausgeübte Tätigkeit nicht unzumutbar macht. Erwägungen ab Seite 134 BGE 112 V 133 S. 134 Estratto dai considerandi: aa) Per Cassa e Ufficio federale dell'industria, delle arti e mestieri e del lavoro (UFIAML) un'indennità di disoccupazione poteva essere erogata solo nella misura in cui il salario percepito dal 1o gennaio 1984 per l'occupazione parziale non fosse stato di almeno il 70% del guadagno assicurato. A fondamento della loro tesi i predetti organi si prevalgono della norma di cui all'art. 16 cpv. 1 lett. e LADI, che dispone essere un'occupazione adeguata se consente al disoccupato di riscuotere un salario che non sia inferiore all'indennità di disoccupazione spettantegli, la quale, come si è visto, ammonta per i celibi ai sensi dell'art. 22 cpv. 1 LADI al 70% del guadagno assicurato. In sostanza la Cassa e l'UFIAML postulano quindi che le indennità di disoccupazione non vengano riconosciute nella misura in cui la perdita di guadagno ammonti a meno del 30% del guadagno assicurato. Si pone il tema di sapere se questa esigenza posta al riconoscimento delle prestazioni sia conforme alla legge. La necessità di limitare il diritto alle indennità ai casi di disoccupazione che rivestano una certa importanza è stata esplicitamente considerata dal legislatore all'art. 11 LADI, disposizione per cui esso al cpv. 1 ha stabilito che la perdita di lavoro è computabile, nella misura in cui provoca una perdita di guadagno e "dura almeno due giorni lavorativi interi consecutivi". Nel suo Messaggio 2 luglio 1980 concernente una nuova legge federale sull'assicurazione obbligatoria contro la disoccupazione e l'indennità per insolvenza il Consiglio federale si è chiaramente espresso sul senso di questa durata minima affermando che "perdite di guadagno più brevi saranno sopportate dall'assicurato nel senso di una franchigia" (cfr. FF 1980 III 511). Oltre questo requisito di una durata minima della perdita di lavoro la legge non subordina il riconoscimento delle indennità di disoccupazione ad altri requisiti. Essa non predispone in alcun modo che pure la perdita di guadagno addebitabile alla perdita di lavoro debba essere di una determinata entità. Non trova in particolare fondamento nella legge la condizione proposta da UFIAML e Cassa di disoccupazione giusta cui una perdita di guadagno inferiore - nell'ipotesi di assicurati celibi - al 30% non sarebbe indennizzabile. A torto esse autorità ravvisano nel disposto dell'art. 16 cpv. 1 lett. e LADI una base alla loro argomentazione. La norma di cui all'art. 16 cpv. 1 LADI volge infatti BGE 112 V 133 S. 135 unicamente a definire il quadro delle occupazioni legittimamente esigibili dall'assicurato tenuto conto della specifica sua situazione, ossia degli usi professionali vigenti (lett. a), delle capacità e eventualmente dell'attività precedentemente svolta (lett. b), dell'età, delle condizioni personali e di salute (lett. c), delle possibili ripercussioni sulla futura attività (lett. d) e della retribuzione precedente (lett. e). La condizione alla lett. e non è intesa che, come gli altri requisiti di cui alle lettere a, b, c, d, a porre dei criteri di esigibilità di un'occupazione, criteri che tengano conto di quegli opposti interessi che sono, da un lato, la tutela nella massima misura possibile della posizione acquisita dal lavoratore nella sua carriera professionale, e, d'altro lato, l'impellenza di reinserire quest'ultimo nel ciclo produttivo. Predisponendo che per essere adeguato un lavoro deve permettere di ottenere un salario pari almeno all'indennità di disoccupazione - ossia pari rispettivamente al 70% del guadagno assicurato per i celibi e all'80% dello stesso per gli altri assicurati - la legge ha in questo senso ritenuto un limite di rimunerazione sufficientemente elevato da non ledere in misura inaccettabile gli interessi dell'assicurato, ma anche sufficientemente basso da non limitare eccessivamente le offerte di lavoro che questi è tenuto ad accettare. Solo questo fine si prefiggeva il legislatore emanando l'art. 16 cpv. 1 lett. e LADI. Nessun elemento è contenuto nella legge che permetta di approdare alle conclusioni proposte da Cassa e ricorrente. In sostanza, una volta adempiuto il presupposto di cui all'art. 11 cpv. 1 LADI o all'art. 5 OADI - il quale quest'ultimo, riferentesi al predetto testo di legge, adegua in conformità alla stessa il requisito alla peculiare situazione delle persone parzialmente disoccupate - l'indennità deve essere erogata pure qualora la rimunerazione sia pari o ecceda il 70%, rispettivamente l'80%, del guadagno assicurato. Aderire alla tesi di Cassa e Ufficio federale significherebbe gravare indebitamente di un'ulteriore franchigia, cumulativamente a quella voluta dal legislatore con l'art. 11 cpv. 1 LADI, il diritto dell'assicurato alle indennità di disoccupazione. La tesi degli organi dell'assicurazione e ripresa dal ricorrente in sede di procedura federale è quindi censurabile.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